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464DC" w14:textId="77777777" w:rsidR="00B25D4B" w:rsidRDefault="00B25D4B" w:rsidP="00B25D4B">
      <w:pPr>
        <w:jc w:val="center"/>
        <w:rPr>
          <w:b/>
          <w:bCs/>
          <w:color w:val="C00000"/>
          <w:sz w:val="28"/>
          <w:szCs w:val="28"/>
        </w:rPr>
      </w:pPr>
      <w:r w:rsidRPr="00B25D4B">
        <w:rPr>
          <w:b/>
          <w:bCs/>
          <w:color w:val="C00000"/>
          <w:sz w:val="28"/>
          <w:szCs w:val="28"/>
        </w:rPr>
        <w:t>LG Electronics revoluciona la industria HVAC en AHR Expo México 2025 con inteligencia artificial y soluciones sostenibles</w:t>
      </w:r>
    </w:p>
    <w:p w14:paraId="74D8BD80" w14:textId="5D42FCD5" w:rsidR="00B25D4B" w:rsidRDefault="00B25D4B" w:rsidP="00B25D4B">
      <w:pPr>
        <w:spacing w:after="0"/>
      </w:pPr>
      <w:r w:rsidRPr="331BEF3D">
        <w:rPr>
          <w:b/>
          <w:bCs/>
        </w:rPr>
        <w:t xml:space="preserve">Monterrey, </w:t>
      </w:r>
      <w:r w:rsidRPr="02C0ECFA">
        <w:rPr>
          <w:b/>
          <w:bCs/>
        </w:rPr>
        <w:t>N</w:t>
      </w:r>
      <w:r w:rsidR="0E39C38B" w:rsidRPr="02C0ECFA">
        <w:rPr>
          <w:b/>
          <w:bCs/>
        </w:rPr>
        <w:t>.L.,</w:t>
      </w:r>
      <w:r w:rsidR="2C9ED274" w:rsidRPr="02C0ECFA">
        <w:rPr>
          <w:b/>
          <w:bCs/>
        </w:rPr>
        <w:t xml:space="preserve"> </w:t>
      </w:r>
      <w:r w:rsidR="00EA3E09">
        <w:rPr>
          <w:b/>
          <w:bCs/>
        </w:rPr>
        <w:t xml:space="preserve">22 de </w:t>
      </w:r>
      <w:r w:rsidR="58612EEA" w:rsidRPr="02C0ECFA">
        <w:rPr>
          <w:b/>
          <w:bCs/>
        </w:rPr>
        <w:t>septiembre</w:t>
      </w:r>
      <w:r w:rsidRPr="02C0ECFA">
        <w:rPr>
          <w:b/>
          <w:bCs/>
        </w:rPr>
        <w:t xml:space="preserve"> de 2025.</w:t>
      </w:r>
      <w:r w:rsidRPr="331BEF3D">
        <w:rPr>
          <w:b/>
          <w:bCs/>
        </w:rPr>
        <w:t xml:space="preserve"> –</w:t>
      </w:r>
      <w:r>
        <w:t xml:space="preserve"> LG Electronics (LG), líder mundial en tecnología e innovación, reafirma su compromiso con el mercado mexicano y latinoamericano al anunciar su destacada participación en la AHR Expo México 2025, el evento más importante de la industria de la climatización, ventilación, aire acondicionado y refrigeración (HVAC&amp;R) en la región.</w:t>
      </w:r>
    </w:p>
    <w:p w14:paraId="39EABD2E" w14:textId="77777777" w:rsidR="00B25D4B" w:rsidRDefault="00B25D4B" w:rsidP="00B25D4B">
      <w:pPr>
        <w:spacing w:after="0"/>
      </w:pPr>
    </w:p>
    <w:p w14:paraId="7D686AD8" w14:textId="77777777" w:rsidR="00B25D4B" w:rsidRDefault="00B25D4B" w:rsidP="00B25D4B">
      <w:pPr>
        <w:spacing w:after="0"/>
      </w:pPr>
      <w:r>
        <w:t>Del 23 al 25 de septiembre, LG dará la bienvenida a profesionales, socios y clientes en su imponente stand #1101 en Cintermex, Monterrey. En este espacio, la compañía desplegará su portafolio de soluciones de vanguardia, diseñadas para ofrecer máxima eficiencia energética, un rendimiento superior y un futuro más sostenible.</w:t>
      </w:r>
    </w:p>
    <w:p w14:paraId="29D7D835" w14:textId="77777777" w:rsidR="00B25D4B" w:rsidRDefault="00B25D4B" w:rsidP="00B25D4B">
      <w:pPr>
        <w:spacing w:after="0"/>
      </w:pPr>
    </w:p>
    <w:p w14:paraId="748C6BD3" w14:textId="596FEF60" w:rsidR="00B25D4B" w:rsidRDefault="00B25D4B" w:rsidP="00B25D4B">
      <w:pPr>
        <w:spacing w:after="0"/>
      </w:pPr>
      <w:r>
        <w:t>Este año, la propuesta de LG se centra en dos pilares estratégicos: la inteligencia artificial aplicada al confort y la transición hacia tecnologías más ecológicas. Los asistentes podrán experimentar de primera mano las innovaciones que están definiendo el futuro de la industria, entre las que destacan:</w:t>
      </w:r>
    </w:p>
    <w:p w14:paraId="4A117ED4" w14:textId="77777777" w:rsidR="00B25D4B" w:rsidRDefault="00B25D4B" w:rsidP="00B25D4B">
      <w:pPr>
        <w:spacing w:after="0"/>
      </w:pPr>
    </w:p>
    <w:p w14:paraId="1C3B6A8D" w14:textId="77777777" w:rsidR="00B25D4B" w:rsidRDefault="00B25D4B" w:rsidP="00B25D4B">
      <w:pPr>
        <w:pStyle w:val="Prrafodelista"/>
        <w:numPr>
          <w:ilvl w:val="0"/>
          <w:numId w:val="3"/>
        </w:numPr>
        <w:spacing w:after="0"/>
      </w:pPr>
      <w:r w:rsidRPr="008E6C10">
        <w:rPr>
          <w:b/>
          <w:bCs/>
        </w:rPr>
        <w:t>Multi V™ i con Inteligencia Artificial:</w:t>
      </w:r>
      <w:r>
        <w:t xml:space="preserve"> La joya de la corona de LG. Este avanzado sistema de Flujo de Refrigerante Variable (VRF) utiliza IA para optimizar su funcionamiento en tiempo real, anticipando las necesidades de climatización, ahorrando hasta un 24.7% más de energía y garantizando un confort inigualable.</w:t>
      </w:r>
    </w:p>
    <w:p w14:paraId="2E736D67" w14:textId="03ECA349" w:rsidR="00B25D4B" w:rsidRDefault="00B25D4B" w:rsidP="00B25D4B">
      <w:pPr>
        <w:pStyle w:val="Prrafodelista"/>
        <w:numPr>
          <w:ilvl w:val="0"/>
          <w:numId w:val="3"/>
        </w:numPr>
        <w:spacing w:after="0"/>
      </w:pPr>
      <w:r w:rsidRPr="008E6C10">
        <w:rPr>
          <w:b/>
          <w:bCs/>
        </w:rPr>
        <w:t>Tecnología de Chillers de Alta Eficiencia:</w:t>
      </w:r>
      <w:r>
        <w:t xml:space="preserve"> LG </w:t>
      </w:r>
      <w:r w:rsidR="00D66C12">
        <w:t>presentará</w:t>
      </w:r>
      <w:r>
        <w:t xml:space="preserve"> </w:t>
      </w:r>
      <w:r w:rsidR="00D66C12">
        <w:t>e</w:t>
      </w:r>
      <w:r>
        <w:t>l revolucionario Chiller Centrífugo Magnético, una solución de altísima eficiencia y bajo mantenimiento para grandes edificaciones. Además, presentará el Chiller Scroll con diseño vertical, ideal para optimizar el espacio en aplicaciones industriales.</w:t>
      </w:r>
    </w:p>
    <w:p w14:paraId="1D38DB84" w14:textId="77777777" w:rsidR="00B25D4B" w:rsidRDefault="00B25D4B" w:rsidP="00B25D4B">
      <w:pPr>
        <w:pStyle w:val="Prrafodelista"/>
        <w:numPr>
          <w:ilvl w:val="0"/>
          <w:numId w:val="3"/>
        </w:numPr>
        <w:spacing w:after="0"/>
      </w:pPr>
      <w:r w:rsidRPr="008E6C10">
        <w:rPr>
          <w:b/>
          <w:bCs/>
        </w:rPr>
        <w:t xml:space="preserve">LG Becon Cloud™: </w:t>
      </w:r>
      <w:r>
        <w:t>Una solución de gestión inteligente que permite el monitoreo, diagnóstico y control remoto de todos los sistemas HVAC de LG, maximizando la eficiencia operativa y minimizando los tiempos de inactividad.</w:t>
      </w:r>
    </w:p>
    <w:p w14:paraId="294A1B4A" w14:textId="77777777" w:rsidR="00B25D4B" w:rsidRDefault="00B25D4B" w:rsidP="00B25D4B">
      <w:pPr>
        <w:pStyle w:val="Prrafodelista"/>
        <w:numPr>
          <w:ilvl w:val="0"/>
          <w:numId w:val="3"/>
        </w:numPr>
        <w:spacing w:after="0"/>
      </w:pPr>
      <w:r w:rsidRPr="008E6C10">
        <w:rPr>
          <w:b/>
          <w:bCs/>
        </w:rPr>
        <w:t xml:space="preserve">Sistemas Paquete Inverter: </w:t>
      </w:r>
      <w:r>
        <w:t>Soluciones versátiles y eficientes, perfectas para el sector retail y desarrollos residenciales que buscan reducir sus costos operativos y su huella de carbono.</w:t>
      </w:r>
    </w:p>
    <w:p w14:paraId="67AA5874" w14:textId="6A767403" w:rsidR="00B25D4B" w:rsidRDefault="00B25D4B" w:rsidP="50C33BB1">
      <w:pPr>
        <w:spacing w:after="0"/>
      </w:pPr>
    </w:p>
    <w:p w14:paraId="6D27850E" w14:textId="5DC11997" w:rsidR="00B25D4B" w:rsidRDefault="5F7DB994" w:rsidP="00B25D4B">
      <w:pPr>
        <w:spacing w:after="0"/>
      </w:pPr>
      <w:r>
        <w:t>"Nuestra participación en AHR Expo México es una declaración de compromiso de LG con la innovación y la sostenibilidad en la región", comentó Daniel Aguilar, director de comunicación corporativa de LG Electronics México. "Estamos entusiasmados de mostrar cómo nuestra tecnología, especialmente la integración de la Inteligencia Artificial y el uso de refrigerantes ecológicos como el R32, responde a las necesidades del mercado actual y sienta las bases para los edificios inteligentes y sostenibles del mañana".</w:t>
      </w:r>
    </w:p>
    <w:p w14:paraId="1B05B289" w14:textId="77777777" w:rsidR="00B25D4B" w:rsidRDefault="00B25D4B" w:rsidP="00B25D4B">
      <w:pPr>
        <w:spacing w:after="0"/>
      </w:pPr>
    </w:p>
    <w:p w14:paraId="449F04A4" w14:textId="77777777" w:rsidR="00B25D4B" w:rsidRPr="008E6C10" w:rsidRDefault="00B25D4B" w:rsidP="00B25D4B">
      <w:pPr>
        <w:spacing w:after="0"/>
        <w:rPr>
          <w:b/>
          <w:bCs/>
          <w:color w:val="C00000"/>
        </w:rPr>
      </w:pPr>
      <w:r w:rsidRPr="008E6C10">
        <w:rPr>
          <w:b/>
          <w:bCs/>
          <w:color w:val="C00000"/>
        </w:rPr>
        <w:t>Compromiso con la sostenibilidad</w:t>
      </w:r>
    </w:p>
    <w:p w14:paraId="2381DD60" w14:textId="77777777" w:rsidR="00B25D4B" w:rsidRDefault="00B25D4B" w:rsidP="00B25D4B">
      <w:pPr>
        <w:spacing w:after="0"/>
      </w:pPr>
    </w:p>
    <w:p w14:paraId="48165E87" w14:textId="77777777" w:rsidR="00B25D4B" w:rsidRDefault="00B25D4B" w:rsidP="00B25D4B">
      <w:pPr>
        <w:spacing w:after="0"/>
      </w:pPr>
      <w:r>
        <w:t>La Zona del Gas R32 En línea con las regulaciones ambientales globales y su visión de un planeta más verde, LG ha desarrollado una zona exclusiva dedicada al Gas Refrigerante R32. En este espacio, se exhibirán los nuevos equipos que utilizan este gas de bajo potencial de calentamiento global (GWP), demostrando el liderazgo de la compañía en la transición hacia soluciones de climatización más amigables con el medio ambiente.</w:t>
      </w:r>
    </w:p>
    <w:p w14:paraId="1D3532CB" w14:textId="77777777" w:rsidR="00B25D4B" w:rsidRDefault="00B25D4B" w:rsidP="00B25D4B">
      <w:pPr>
        <w:spacing w:after="0"/>
      </w:pPr>
    </w:p>
    <w:p w14:paraId="1CEA4FBE" w14:textId="77777777" w:rsidR="00B25D4B" w:rsidRDefault="00B25D4B" w:rsidP="00B25D4B">
      <w:pPr>
        <w:spacing w:after="0"/>
      </w:pPr>
      <w:r>
        <w:lastRenderedPageBreak/>
        <w:t>Además de la exhibición de productos, el stand de LG contará con un área para presentaciones técnicas, donde los expertos de la marca compartirán conocimientos y casos de éxito sobre las distintas tecnologías.</w:t>
      </w:r>
    </w:p>
    <w:p w14:paraId="6401F620" w14:textId="77777777" w:rsidR="00B25D4B" w:rsidRDefault="00B25D4B" w:rsidP="00B25D4B">
      <w:pPr>
        <w:spacing w:after="0"/>
      </w:pPr>
    </w:p>
    <w:p w14:paraId="358084E9" w14:textId="77777777" w:rsidR="00D85A4B" w:rsidRPr="008F3F5A" w:rsidRDefault="00D85A4B" w:rsidP="00D85A4B">
      <w:pPr>
        <w:rPr>
          <w:b/>
          <w:bCs/>
          <w:color w:val="C00000"/>
        </w:rPr>
      </w:pPr>
      <w:r w:rsidRPr="008F3F5A">
        <w:rPr>
          <w:b/>
          <w:bCs/>
          <w:color w:val="C00000"/>
        </w:rPr>
        <w:t>AHR Expo: un punto de encuentro clave</w:t>
      </w:r>
    </w:p>
    <w:p w14:paraId="1E77C06E" w14:textId="77777777" w:rsidR="00D85A4B" w:rsidRDefault="00D85A4B" w:rsidP="00D85A4B">
      <w:r>
        <w:t>La AHR Expo México es reconocida como la principal plataforma de negocios y conocimiento en la región para profesionales del sector HVAC, ofreciendo un espacio ideal para descubrir las últimas tendencias y tecnologías en acondicionamiento de aire y refrigeración.</w:t>
      </w:r>
    </w:p>
    <w:p w14:paraId="24DCCC40" w14:textId="1FBFC107" w:rsidR="00B25D4B" w:rsidRDefault="00B25D4B" w:rsidP="00B25D4B">
      <w:pPr>
        <w:spacing w:after="0"/>
      </w:pPr>
      <w:r>
        <w:t>Para más información sobre el evento, visite:</w:t>
      </w:r>
      <w:r w:rsidR="004F2A15">
        <w:t xml:space="preserve"> </w:t>
      </w:r>
      <w:hyperlink r:id="rId10" w:history="1">
        <w:r w:rsidRPr="00B761AB">
          <w:rPr>
            <w:rStyle w:val="Hipervnculo"/>
          </w:rPr>
          <w:t>https://www.ahrexpomexico.com/</w:t>
        </w:r>
      </w:hyperlink>
    </w:p>
    <w:p w14:paraId="7F15EF39" w14:textId="77777777" w:rsidR="004F2A15" w:rsidRDefault="004F2A15" w:rsidP="00D2579A">
      <w:pPr>
        <w:rPr>
          <w:b/>
          <w:bCs/>
        </w:rPr>
      </w:pPr>
    </w:p>
    <w:p w14:paraId="7651DB54" w14:textId="1F2239F3" w:rsidR="00D2579A" w:rsidRDefault="00D2579A" w:rsidP="00D2579A">
      <w:r w:rsidRPr="00D2579A">
        <w:rPr>
          <w:b/>
          <w:bCs/>
        </w:rPr>
        <w:t>Acerca de LG Electronics, Inc</w:t>
      </w:r>
      <w:r>
        <w:t>.</w:t>
      </w:r>
    </w:p>
    <w:p w14:paraId="26D01574" w14:textId="1091E3E2" w:rsidR="00D2579A" w:rsidRDefault="00D2579A" w:rsidP="00D2579A">
      <w:r>
        <w:t>LG Electronics es un innovador mundial en tecnología y electrónica de consumo con presencia en 140 países y una plantilla internacional de más de 75.000 trabajadores. Las cuatro empresas de LG (Home Appliance Solution, Media Entertainment Solution, Vehicle Solution y Eco Solution) sumaron unos ingresos globales de más de 88 billones de KRW en 2024. LG es un fabricante líder de productos de consumo y comerciales que van desde televisores, electrodomésticos, soluciones de aire, monitores, componentes y soluciones de automoción, y sus marcas premium LG SIGNATURE y la inteligente LG ThinQ son nombres conocidos en todo el mundo. Visite www.LGnewsroom.com para conocer las últimas noticias.</w:t>
      </w:r>
    </w:p>
    <w:p w14:paraId="2AB35989" w14:textId="3C91F571" w:rsidR="0099009F" w:rsidRPr="0099009F" w:rsidRDefault="00D2579A" w:rsidP="00D2579A">
      <w:pPr>
        <w:rPr>
          <w:b/>
          <w:bCs/>
        </w:rPr>
      </w:pPr>
      <w:r w:rsidRPr="0099009F">
        <w:rPr>
          <w:b/>
          <w:bCs/>
        </w:rPr>
        <w:t xml:space="preserve">Contacto de Prensa: </w:t>
      </w:r>
    </w:p>
    <w:p w14:paraId="092619BA" w14:textId="36D6B30A" w:rsidR="11F6423A" w:rsidRDefault="11F6423A" w:rsidP="11F6423A">
      <w:pPr>
        <w:rPr>
          <w:b/>
          <w:bC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95"/>
        <w:gridCol w:w="2295"/>
        <w:gridCol w:w="3540"/>
        <w:gridCol w:w="315"/>
      </w:tblGrid>
      <w:tr w:rsidR="235B88A7" w14:paraId="5C84E685" w14:textId="77777777" w:rsidTr="132347CC">
        <w:trPr>
          <w:trHeight w:val="300"/>
        </w:trPr>
        <w:tc>
          <w:tcPr>
            <w:tcW w:w="2295" w:type="dxa"/>
            <w:tcBorders>
              <w:top w:val="nil"/>
              <w:left w:val="nil"/>
              <w:bottom w:val="nil"/>
              <w:right w:val="nil"/>
            </w:tcBorders>
            <w:tcMar>
              <w:left w:w="90" w:type="dxa"/>
              <w:right w:w="90" w:type="dxa"/>
            </w:tcMar>
          </w:tcPr>
          <w:p w14:paraId="6FB22A01" w14:textId="1D7A9C2A" w:rsidR="235B88A7" w:rsidRPr="004236F4" w:rsidRDefault="235B88A7" w:rsidP="00420F10">
            <w:pPr>
              <w:jc w:val="center"/>
              <w:rPr>
                <w:rFonts w:eastAsia="Times New Roman" w:cs="Calibri"/>
                <w:color w:val="000000" w:themeColor="text1"/>
                <w:sz w:val="18"/>
                <w:szCs w:val="18"/>
              </w:rPr>
            </w:pPr>
            <w:r w:rsidRPr="004236F4">
              <w:rPr>
                <w:rFonts w:eastAsia="Times New Roman" w:cs="Calibri"/>
                <w:b/>
                <w:bCs/>
                <w:i/>
                <w:iCs/>
                <w:color w:val="000000" w:themeColor="text1"/>
                <w:sz w:val="18"/>
                <w:szCs w:val="18"/>
              </w:rPr>
              <w:t>LG Electronics México</w:t>
            </w:r>
          </w:p>
          <w:p w14:paraId="255BE4AE" w14:textId="03C5C3FD" w:rsidR="235B88A7" w:rsidRPr="004236F4" w:rsidRDefault="235B88A7" w:rsidP="00420F10">
            <w:pPr>
              <w:jc w:val="center"/>
              <w:rPr>
                <w:rFonts w:eastAsia="Times New Roman" w:cs="Calibri"/>
                <w:color w:val="000000" w:themeColor="text1"/>
                <w:sz w:val="18"/>
                <w:szCs w:val="18"/>
              </w:rPr>
            </w:pPr>
            <w:r w:rsidRPr="004236F4">
              <w:rPr>
                <w:rFonts w:eastAsia="Times New Roman" w:cs="Calibri"/>
                <w:color w:val="000000" w:themeColor="text1"/>
                <w:sz w:val="18"/>
                <w:szCs w:val="18"/>
              </w:rPr>
              <w:t>Daniel Aguilar</w:t>
            </w:r>
          </w:p>
          <w:p w14:paraId="091BD705" w14:textId="54FC7463" w:rsidR="235B88A7" w:rsidRPr="004236F4" w:rsidRDefault="235B88A7" w:rsidP="00420F10">
            <w:pPr>
              <w:jc w:val="center"/>
              <w:rPr>
                <w:rFonts w:eastAsia="Times New Roman" w:cs="Calibri"/>
                <w:color w:val="000000" w:themeColor="text1"/>
                <w:sz w:val="18"/>
                <w:szCs w:val="18"/>
              </w:rPr>
            </w:pPr>
            <w:r w:rsidRPr="004236F4">
              <w:rPr>
                <w:rFonts w:eastAsia="Times New Roman" w:cs="Calibri"/>
                <w:color w:val="000000" w:themeColor="text1"/>
                <w:sz w:val="18"/>
                <w:szCs w:val="18"/>
              </w:rPr>
              <w:t>Media &amp; PR</w:t>
            </w:r>
          </w:p>
          <w:p w14:paraId="30C2A93A" w14:textId="7409CBA2" w:rsidR="235B88A7" w:rsidRPr="004236F4" w:rsidRDefault="235B88A7" w:rsidP="00420F10">
            <w:pPr>
              <w:jc w:val="center"/>
              <w:rPr>
                <w:rFonts w:eastAsia="Times New Roman" w:cs="Calibri"/>
                <w:color w:val="000000" w:themeColor="text1"/>
                <w:sz w:val="18"/>
                <w:szCs w:val="18"/>
              </w:rPr>
            </w:pPr>
            <w:r w:rsidRPr="004236F4">
              <w:rPr>
                <w:rFonts w:eastAsia="Times New Roman" w:cs="Calibri"/>
                <w:color w:val="000000" w:themeColor="text1"/>
                <w:sz w:val="18"/>
                <w:szCs w:val="18"/>
              </w:rPr>
              <w:t>Tel.  555321-1977</w:t>
            </w:r>
          </w:p>
          <w:p w14:paraId="05D33FD5" w14:textId="36D6059B" w:rsidR="235B88A7" w:rsidRPr="004236F4" w:rsidRDefault="235B88A7" w:rsidP="00420F10">
            <w:pPr>
              <w:jc w:val="center"/>
              <w:rPr>
                <w:rFonts w:eastAsia="Times New Roman" w:cs="Calibri"/>
                <w:color w:val="000000" w:themeColor="text1"/>
                <w:sz w:val="18"/>
                <w:szCs w:val="18"/>
              </w:rPr>
            </w:pPr>
            <w:hyperlink r:id="rId11">
              <w:r w:rsidRPr="004236F4">
                <w:rPr>
                  <w:rStyle w:val="Hipervnculo"/>
                  <w:rFonts w:eastAsia="Times New Roman" w:cs="Calibri"/>
                  <w:b/>
                  <w:bCs/>
                  <w:color w:val="000000" w:themeColor="text1"/>
                  <w:sz w:val="18"/>
                  <w:szCs w:val="18"/>
                </w:rPr>
                <w:t>daniel.aguilar@lge.com</w:t>
              </w:r>
            </w:hyperlink>
          </w:p>
        </w:tc>
        <w:tc>
          <w:tcPr>
            <w:tcW w:w="2295" w:type="dxa"/>
            <w:tcBorders>
              <w:top w:val="nil"/>
              <w:left w:val="nil"/>
              <w:bottom w:val="nil"/>
              <w:right w:val="nil"/>
            </w:tcBorders>
            <w:tcMar>
              <w:left w:w="90" w:type="dxa"/>
              <w:right w:w="90" w:type="dxa"/>
            </w:tcMar>
          </w:tcPr>
          <w:p w14:paraId="29BD1C6F" w14:textId="4BA1D99C" w:rsidR="235B88A7" w:rsidRPr="004236F4" w:rsidRDefault="235B88A7" w:rsidP="00420F10">
            <w:pPr>
              <w:jc w:val="center"/>
              <w:rPr>
                <w:rFonts w:eastAsia="Times New Roman" w:cs="Calibri"/>
                <w:color w:val="000000" w:themeColor="text1"/>
                <w:sz w:val="18"/>
                <w:szCs w:val="18"/>
              </w:rPr>
            </w:pPr>
            <w:r w:rsidRPr="004236F4">
              <w:rPr>
                <w:rFonts w:eastAsia="Times New Roman" w:cs="Calibri"/>
                <w:b/>
                <w:bCs/>
                <w:i/>
                <w:iCs/>
                <w:color w:val="000000" w:themeColor="text1"/>
                <w:sz w:val="18"/>
                <w:szCs w:val="18"/>
              </w:rPr>
              <w:t>LG Electronics México</w:t>
            </w:r>
          </w:p>
          <w:p w14:paraId="5A4E040D" w14:textId="1B260865" w:rsidR="235B88A7" w:rsidRPr="004236F4" w:rsidRDefault="235B88A7" w:rsidP="00420F10">
            <w:pPr>
              <w:jc w:val="center"/>
              <w:rPr>
                <w:rFonts w:eastAsia="Times New Roman" w:cs="Calibri"/>
                <w:color w:val="000000" w:themeColor="text1"/>
                <w:sz w:val="18"/>
                <w:szCs w:val="18"/>
              </w:rPr>
            </w:pPr>
            <w:r w:rsidRPr="004236F4">
              <w:rPr>
                <w:rFonts w:eastAsia="Times New Roman" w:cs="Calibri"/>
                <w:color w:val="000000" w:themeColor="text1"/>
                <w:sz w:val="18"/>
                <w:szCs w:val="18"/>
              </w:rPr>
              <w:t>Daniela Medel</w:t>
            </w:r>
          </w:p>
          <w:p w14:paraId="3CE4699F" w14:textId="1D1CD28D" w:rsidR="235B88A7" w:rsidRPr="004236F4" w:rsidRDefault="235B88A7" w:rsidP="00420F10">
            <w:pPr>
              <w:jc w:val="center"/>
              <w:rPr>
                <w:rFonts w:eastAsia="Times New Roman" w:cs="Calibri"/>
                <w:color w:val="000000" w:themeColor="text1"/>
                <w:sz w:val="18"/>
                <w:szCs w:val="18"/>
              </w:rPr>
            </w:pPr>
            <w:r w:rsidRPr="004236F4">
              <w:rPr>
                <w:rFonts w:eastAsia="Times New Roman" w:cs="Calibri"/>
                <w:color w:val="000000" w:themeColor="text1"/>
                <w:sz w:val="18"/>
                <w:szCs w:val="18"/>
              </w:rPr>
              <w:t>Media &amp; PR</w:t>
            </w:r>
          </w:p>
          <w:p w14:paraId="3FEBBF12" w14:textId="75C6261D" w:rsidR="235B88A7" w:rsidRPr="004236F4" w:rsidRDefault="235B88A7" w:rsidP="00420F10">
            <w:pPr>
              <w:jc w:val="center"/>
              <w:rPr>
                <w:rFonts w:eastAsia="Times New Roman" w:cs="Calibri"/>
                <w:color w:val="000000" w:themeColor="text1"/>
                <w:sz w:val="18"/>
                <w:szCs w:val="18"/>
              </w:rPr>
            </w:pPr>
            <w:r w:rsidRPr="004236F4">
              <w:rPr>
                <w:rFonts w:eastAsia="Times New Roman" w:cs="Calibri"/>
                <w:color w:val="000000" w:themeColor="text1"/>
                <w:sz w:val="18"/>
                <w:szCs w:val="18"/>
              </w:rPr>
              <w:t>Tel.  52 56 6230 2485</w:t>
            </w:r>
          </w:p>
          <w:p w14:paraId="30B55E3C" w14:textId="4DB11DE5" w:rsidR="235B88A7" w:rsidRPr="004236F4" w:rsidRDefault="235B88A7" w:rsidP="00420F10">
            <w:pPr>
              <w:jc w:val="center"/>
              <w:rPr>
                <w:rFonts w:eastAsia="Times New Roman" w:cs="Calibri"/>
                <w:color w:val="000000" w:themeColor="text1"/>
                <w:sz w:val="18"/>
                <w:szCs w:val="18"/>
              </w:rPr>
            </w:pPr>
            <w:hyperlink r:id="rId12">
              <w:r w:rsidRPr="004236F4">
                <w:rPr>
                  <w:rStyle w:val="Hipervnculo"/>
                  <w:rFonts w:eastAsia="Times New Roman" w:cs="Calibri"/>
                  <w:b/>
                  <w:bCs/>
                  <w:color w:val="000000" w:themeColor="text1"/>
                  <w:sz w:val="18"/>
                  <w:szCs w:val="18"/>
                </w:rPr>
                <w:t>daniela.medel@lge.com</w:t>
              </w:r>
            </w:hyperlink>
          </w:p>
        </w:tc>
        <w:tc>
          <w:tcPr>
            <w:tcW w:w="3540" w:type="dxa"/>
            <w:tcBorders>
              <w:top w:val="nil"/>
              <w:left w:val="nil"/>
              <w:bottom w:val="nil"/>
              <w:right w:val="nil"/>
            </w:tcBorders>
            <w:tcMar>
              <w:left w:w="90" w:type="dxa"/>
              <w:right w:w="90" w:type="dxa"/>
            </w:tcMar>
          </w:tcPr>
          <w:p w14:paraId="3B478691" w14:textId="1ED4C1AB" w:rsidR="235B88A7" w:rsidRPr="004236F4" w:rsidRDefault="235B88A7" w:rsidP="00420F10">
            <w:pPr>
              <w:jc w:val="center"/>
              <w:rPr>
                <w:rFonts w:eastAsia="Times New Roman" w:cs="Calibri"/>
                <w:color w:val="000000" w:themeColor="text1"/>
                <w:sz w:val="18"/>
                <w:szCs w:val="18"/>
              </w:rPr>
            </w:pPr>
            <w:r w:rsidRPr="004236F4">
              <w:rPr>
                <w:rFonts w:eastAsia="Times New Roman" w:cs="Calibri"/>
                <w:b/>
                <w:bCs/>
                <w:color w:val="000000" w:themeColor="text1"/>
                <w:sz w:val="18"/>
                <w:szCs w:val="18"/>
                <w:lang w:val="en-US"/>
              </w:rPr>
              <w:t>Burson</w:t>
            </w:r>
          </w:p>
          <w:p w14:paraId="0A621BDF" w14:textId="581D2B23" w:rsidR="235B88A7" w:rsidRPr="004236F4" w:rsidRDefault="2BFD3D65" w:rsidP="00420F10">
            <w:pPr>
              <w:jc w:val="center"/>
              <w:rPr>
                <w:rFonts w:eastAsia="Times New Roman" w:cs="Calibri"/>
                <w:color w:val="000000" w:themeColor="text1"/>
                <w:sz w:val="18"/>
                <w:szCs w:val="18"/>
                <w:lang w:val="en-US"/>
              </w:rPr>
            </w:pPr>
            <w:r w:rsidRPr="004236F4">
              <w:rPr>
                <w:rFonts w:eastAsia="Times New Roman" w:cs="Calibri"/>
                <w:color w:val="000000" w:themeColor="text1"/>
                <w:sz w:val="18"/>
                <w:szCs w:val="18"/>
                <w:lang w:val="en-US"/>
              </w:rPr>
              <w:t>Fernando Martínez</w:t>
            </w:r>
          </w:p>
          <w:p w14:paraId="4D40691B" w14:textId="6316910A" w:rsidR="235B88A7" w:rsidRPr="004236F4" w:rsidRDefault="235B88A7" w:rsidP="00420F10">
            <w:pPr>
              <w:jc w:val="center"/>
              <w:rPr>
                <w:rFonts w:eastAsia="Times New Roman" w:cs="Calibri"/>
                <w:color w:val="000000" w:themeColor="text1"/>
                <w:sz w:val="18"/>
                <w:szCs w:val="18"/>
                <w:lang w:val="en-US"/>
              </w:rPr>
            </w:pPr>
            <w:r w:rsidRPr="004236F4">
              <w:rPr>
                <w:rFonts w:eastAsia="Times New Roman" w:cs="Calibri"/>
                <w:color w:val="000000" w:themeColor="text1"/>
                <w:sz w:val="18"/>
                <w:szCs w:val="18"/>
                <w:lang w:val="en-US"/>
              </w:rPr>
              <w:t xml:space="preserve">Account </w:t>
            </w:r>
            <w:r w:rsidR="56088FD3" w:rsidRPr="004236F4">
              <w:rPr>
                <w:rFonts w:eastAsia="Times New Roman" w:cs="Calibri"/>
                <w:color w:val="000000" w:themeColor="text1"/>
                <w:sz w:val="18"/>
                <w:szCs w:val="18"/>
                <w:lang w:val="en-US"/>
              </w:rPr>
              <w:t>Manager</w:t>
            </w:r>
          </w:p>
          <w:p w14:paraId="785BE77F" w14:textId="73C71741" w:rsidR="235B88A7" w:rsidRPr="004236F4" w:rsidRDefault="235B88A7" w:rsidP="00420F10">
            <w:pPr>
              <w:jc w:val="center"/>
              <w:rPr>
                <w:rFonts w:eastAsia="Times New Roman" w:cs="Calibri"/>
                <w:color w:val="000000" w:themeColor="text1"/>
                <w:sz w:val="18"/>
                <w:szCs w:val="18"/>
              </w:rPr>
            </w:pPr>
            <w:r w:rsidRPr="004236F4">
              <w:rPr>
                <w:rFonts w:eastAsia="Times New Roman" w:cs="Calibri"/>
                <w:color w:val="000000" w:themeColor="text1"/>
                <w:sz w:val="18"/>
                <w:szCs w:val="18"/>
                <w:lang w:val="en-US"/>
              </w:rPr>
              <w:t xml:space="preserve">Tel. 55 </w:t>
            </w:r>
            <w:r w:rsidR="0DAEFFC5" w:rsidRPr="004236F4">
              <w:rPr>
                <w:rFonts w:eastAsia="Times New Roman" w:cs="Calibri"/>
                <w:color w:val="000000" w:themeColor="text1"/>
                <w:sz w:val="18"/>
                <w:szCs w:val="18"/>
                <w:lang w:val="en-US"/>
              </w:rPr>
              <w:t>4888</w:t>
            </w:r>
            <w:r w:rsidRPr="004236F4">
              <w:rPr>
                <w:rFonts w:eastAsia="Times New Roman" w:cs="Calibri"/>
                <w:color w:val="000000" w:themeColor="text1"/>
                <w:sz w:val="18"/>
                <w:szCs w:val="18"/>
                <w:lang w:val="en-US"/>
              </w:rPr>
              <w:t xml:space="preserve"> </w:t>
            </w:r>
            <w:r w:rsidR="19FD576F" w:rsidRPr="004236F4">
              <w:rPr>
                <w:rFonts w:eastAsia="Times New Roman" w:cs="Calibri"/>
                <w:color w:val="000000" w:themeColor="text1"/>
                <w:sz w:val="18"/>
                <w:szCs w:val="18"/>
                <w:lang w:val="en-US"/>
              </w:rPr>
              <w:t>63</w:t>
            </w:r>
            <w:r w:rsidRPr="004236F4">
              <w:rPr>
                <w:rFonts w:eastAsia="Times New Roman" w:cs="Calibri"/>
                <w:color w:val="000000" w:themeColor="text1"/>
                <w:sz w:val="18"/>
                <w:szCs w:val="18"/>
                <w:lang w:val="en-US"/>
              </w:rPr>
              <w:t>64</w:t>
            </w:r>
          </w:p>
          <w:p w14:paraId="74BEF85A" w14:textId="79BDC9B3" w:rsidR="235B88A7" w:rsidRPr="004236F4" w:rsidRDefault="00420F10" w:rsidP="00420F10">
            <w:pPr>
              <w:jc w:val="center"/>
              <w:rPr>
                <w:rFonts w:eastAsia="Times New Roman" w:cs="Calibri"/>
                <w:b/>
                <w:bCs/>
                <w:color w:val="000000" w:themeColor="text1"/>
                <w:sz w:val="18"/>
                <w:szCs w:val="18"/>
                <w:lang w:val="en-US"/>
              </w:rPr>
            </w:pPr>
            <w:hyperlink r:id="rId13" w:history="1">
              <w:r w:rsidR="5F915F60" w:rsidRPr="004236F4">
                <w:rPr>
                  <w:rStyle w:val="Hipervnculo"/>
                  <w:rFonts w:eastAsia="Times New Roman" w:cs="Calibri"/>
                  <w:b/>
                  <w:bCs/>
                  <w:color w:val="000000" w:themeColor="text1"/>
                  <w:sz w:val="18"/>
                  <w:szCs w:val="18"/>
                  <w:lang w:val="en-US"/>
                </w:rPr>
                <w:t>fernando.pineda@bursonglobal.com</w:t>
              </w:r>
            </w:hyperlink>
          </w:p>
        </w:tc>
        <w:tc>
          <w:tcPr>
            <w:tcW w:w="315" w:type="dxa"/>
            <w:tcBorders>
              <w:top w:val="nil"/>
              <w:left w:val="nil"/>
              <w:bottom w:val="nil"/>
              <w:right w:val="nil"/>
            </w:tcBorders>
            <w:tcMar>
              <w:left w:w="90" w:type="dxa"/>
              <w:right w:w="90" w:type="dxa"/>
            </w:tcMar>
          </w:tcPr>
          <w:p w14:paraId="375AC62C" w14:textId="6F430AF8" w:rsidR="235B88A7" w:rsidRDefault="235B88A7" w:rsidP="235B88A7">
            <w:pPr>
              <w:rPr>
                <w:rFonts w:ascii="Times New Roman" w:eastAsia="Times New Roman" w:hAnsi="Times New Roman" w:cs="Times New Roman"/>
                <w:color w:val="000000" w:themeColor="text1"/>
                <w:sz w:val="18"/>
                <w:szCs w:val="18"/>
              </w:rPr>
            </w:pPr>
            <w:r w:rsidRPr="235B88A7">
              <w:rPr>
                <w:rFonts w:ascii="Times New Roman" w:eastAsia="Times New Roman" w:hAnsi="Times New Roman" w:cs="Times New Roman"/>
                <w:color w:val="000000" w:themeColor="text1"/>
                <w:sz w:val="18"/>
                <w:szCs w:val="18"/>
              </w:rPr>
              <w:t> </w:t>
            </w:r>
          </w:p>
        </w:tc>
      </w:tr>
    </w:tbl>
    <w:p w14:paraId="685BB338" w14:textId="02B589AC" w:rsidR="00B25D4B" w:rsidRDefault="00B25D4B" w:rsidP="235B88A7">
      <w:pPr>
        <w:tabs>
          <w:tab w:val="left" w:pos="3969"/>
        </w:tabs>
        <w:jc w:val="left"/>
        <w:rPr>
          <w:rFonts w:ascii="Times New Roman" w:eastAsia="Times New Roman" w:hAnsi="Times New Roman" w:cs="Times New Roman"/>
          <w:color w:val="000000" w:themeColor="text1"/>
          <w:sz w:val="18"/>
          <w:szCs w:val="18"/>
        </w:rPr>
      </w:pPr>
    </w:p>
    <w:p w14:paraId="6CB8D395" w14:textId="5B0E084F" w:rsidR="00B25D4B" w:rsidRDefault="00B25D4B" w:rsidP="235B88A7">
      <w:pPr>
        <w:rPr>
          <w:rFonts w:ascii="Times New Roman" w:eastAsia="Times New Roman" w:hAnsi="Times New Roman" w:cs="Times New Roman"/>
          <w:color w:val="000000" w:themeColor="text1"/>
          <w:sz w:val="24"/>
        </w:rPr>
      </w:pPr>
    </w:p>
    <w:p w14:paraId="07644643" w14:textId="538250C6" w:rsidR="00B25D4B" w:rsidRDefault="00B25D4B" w:rsidP="008F3F5A"/>
    <w:sectPr w:rsidR="00B25D4B">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3C273" w14:textId="77777777" w:rsidR="008260D7" w:rsidRDefault="008260D7" w:rsidP="008260D7">
      <w:pPr>
        <w:spacing w:after="0"/>
      </w:pPr>
      <w:r>
        <w:separator/>
      </w:r>
    </w:p>
  </w:endnote>
  <w:endnote w:type="continuationSeparator" w:id="0">
    <w:p w14:paraId="2E147B71" w14:textId="77777777" w:rsidR="008260D7" w:rsidRDefault="008260D7" w:rsidP="008260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14BE6" w14:textId="77777777" w:rsidR="008260D7" w:rsidRDefault="008260D7" w:rsidP="008260D7">
      <w:pPr>
        <w:spacing w:after="0"/>
      </w:pPr>
      <w:r>
        <w:separator/>
      </w:r>
    </w:p>
  </w:footnote>
  <w:footnote w:type="continuationSeparator" w:id="0">
    <w:p w14:paraId="38B630E5" w14:textId="77777777" w:rsidR="008260D7" w:rsidRDefault="008260D7" w:rsidP="008260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6"/>
      <w:gridCol w:w="2949"/>
      <w:gridCol w:w="2953"/>
    </w:tblGrid>
    <w:tr w:rsidR="008260D7" w:rsidRPr="00586A8E" w14:paraId="11C3AC62" w14:textId="77777777" w:rsidTr="00CE75FD">
      <w:trPr>
        <w:trHeight w:val="300"/>
      </w:trPr>
      <w:tc>
        <w:tcPr>
          <w:tcW w:w="3000" w:type="dxa"/>
          <w:tcBorders>
            <w:top w:val="nil"/>
            <w:left w:val="nil"/>
            <w:bottom w:val="nil"/>
            <w:right w:val="nil"/>
          </w:tcBorders>
          <w:hideMark/>
        </w:tcPr>
        <w:p w14:paraId="537907BA" w14:textId="77777777" w:rsidR="008260D7" w:rsidRPr="00586A8E" w:rsidRDefault="008260D7" w:rsidP="008260D7">
          <w:pPr>
            <w:spacing w:after="0"/>
            <w:ind w:left="-120"/>
            <w:textAlignment w:val="baseline"/>
            <w:rPr>
              <w:rFonts w:ascii="Segoe UI" w:eastAsia="Times New Roman" w:hAnsi="Segoe UI" w:cs="Segoe UI"/>
              <w:kern w:val="0"/>
              <w:sz w:val="18"/>
              <w:szCs w:val="18"/>
              <w14:ligatures w14:val="none"/>
            </w:rPr>
          </w:pPr>
          <w:r w:rsidRPr="00586A8E">
            <w:rPr>
              <w:rFonts w:ascii="Aptos" w:eastAsia="Times New Roman" w:hAnsi="Aptos" w:cs="Segoe UI"/>
              <w:kern w:val="0"/>
              <w14:ligatures w14:val="none"/>
            </w:rPr>
            <w:t> </w:t>
          </w:r>
          <w:r w:rsidRPr="00586A8E">
            <w:rPr>
              <w:rFonts w:ascii="Segoe UI" w:eastAsia="Times New Roman" w:hAnsi="Segoe UI" w:cs="Segoe UI"/>
              <w:noProof/>
              <w:kern w:val="0"/>
              <w:sz w:val="18"/>
              <w:szCs w:val="18"/>
              <w:lang w:val="en-US" w:eastAsia="ko-KR"/>
              <w14:ligatures w14:val="none"/>
            </w:rPr>
            <w:drawing>
              <wp:inline distT="0" distB="0" distL="0" distR="0" wp14:anchorId="419AB0B4" wp14:editId="6679CED7">
                <wp:extent cx="683185" cy="374650"/>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336" cy="379668"/>
                        </a:xfrm>
                        <a:prstGeom prst="rect">
                          <a:avLst/>
                        </a:prstGeom>
                        <a:noFill/>
                        <a:ln>
                          <a:noFill/>
                        </a:ln>
                      </pic:spPr>
                    </pic:pic>
                  </a:graphicData>
                </a:graphic>
              </wp:inline>
            </w:drawing>
          </w:r>
        </w:p>
      </w:tc>
      <w:tc>
        <w:tcPr>
          <w:tcW w:w="3000" w:type="dxa"/>
          <w:tcBorders>
            <w:top w:val="nil"/>
            <w:left w:val="nil"/>
            <w:bottom w:val="nil"/>
            <w:right w:val="nil"/>
          </w:tcBorders>
          <w:hideMark/>
        </w:tcPr>
        <w:p w14:paraId="652A471B" w14:textId="77777777" w:rsidR="008260D7" w:rsidRPr="00586A8E" w:rsidRDefault="008260D7" w:rsidP="008260D7">
          <w:pPr>
            <w:tabs>
              <w:tab w:val="left" w:pos="1384"/>
              <w:tab w:val="center" w:pos="1463"/>
            </w:tabs>
            <w:spacing w:after="0"/>
            <w:jc w:val="left"/>
            <w:textAlignment w:val="baseline"/>
            <w:rPr>
              <w:rFonts w:ascii="Segoe UI" w:eastAsia="Times New Roman" w:hAnsi="Segoe UI" w:cs="Segoe UI"/>
              <w:kern w:val="0"/>
              <w:sz w:val="18"/>
              <w:szCs w:val="18"/>
              <w14:ligatures w14:val="none"/>
            </w:rPr>
          </w:pPr>
          <w:r>
            <w:rPr>
              <w:rFonts w:ascii="Aptos" w:eastAsia="Times New Roman" w:hAnsi="Aptos" w:cs="Segoe UI"/>
              <w:kern w:val="0"/>
              <w14:ligatures w14:val="none"/>
            </w:rPr>
            <w:tab/>
          </w:r>
          <w:r>
            <w:rPr>
              <w:rFonts w:ascii="Aptos" w:eastAsia="Times New Roman" w:hAnsi="Aptos" w:cs="Segoe UI"/>
              <w:kern w:val="0"/>
              <w14:ligatures w14:val="none"/>
            </w:rPr>
            <w:tab/>
          </w:r>
          <w:r w:rsidRPr="00586A8E">
            <w:rPr>
              <w:rFonts w:ascii="Aptos" w:eastAsia="Times New Roman" w:hAnsi="Aptos" w:cs="Segoe UI"/>
              <w:kern w:val="0"/>
              <w14:ligatures w14:val="none"/>
            </w:rPr>
            <w:t> </w:t>
          </w:r>
        </w:p>
      </w:tc>
      <w:tc>
        <w:tcPr>
          <w:tcW w:w="3000" w:type="dxa"/>
          <w:tcBorders>
            <w:top w:val="nil"/>
            <w:left w:val="nil"/>
            <w:bottom w:val="nil"/>
            <w:right w:val="nil"/>
          </w:tcBorders>
          <w:hideMark/>
        </w:tcPr>
        <w:p w14:paraId="21F6BD2A" w14:textId="77777777" w:rsidR="008260D7" w:rsidRPr="00586A8E" w:rsidRDefault="008260D7" w:rsidP="008260D7">
          <w:pPr>
            <w:spacing w:after="0"/>
            <w:ind w:right="-120"/>
            <w:jc w:val="right"/>
            <w:textAlignment w:val="baseline"/>
            <w:rPr>
              <w:rFonts w:ascii="Segoe UI" w:eastAsia="Times New Roman" w:hAnsi="Segoe UI" w:cs="Segoe UI"/>
              <w:kern w:val="0"/>
              <w:sz w:val="18"/>
              <w:szCs w:val="18"/>
              <w14:ligatures w14:val="none"/>
            </w:rPr>
          </w:pPr>
          <w:r w:rsidRPr="00586A8E">
            <w:rPr>
              <w:rFonts w:ascii="Segoe UI" w:eastAsia="Times New Roman" w:hAnsi="Segoe UI" w:cs="Segoe UI"/>
              <w:noProof/>
              <w:kern w:val="0"/>
              <w:sz w:val="18"/>
              <w:szCs w:val="18"/>
              <w:lang w:val="en-US" w:eastAsia="ko-KR"/>
              <w14:ligatures w14:val="none"/>
            </w:rPr>
            <w:drawing>
              <wp:inline distT="0" distB="0" distL="0" distR="0" wp14:anchorId="6A010C0F" wp14:editId="45388240">
                <wp:extent cx="942931" cy="162031"/>
                <wp:effectExtent l="0" t="0" r="0" b="9525"/>
                <wp:docPr id="1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5058" cy="174425"/>
                        </a:xfrm>
                        <a:prstGeom prst="rect">
                          <a:avLst/>
                        </a:prstGeom>
                        <a:noFill/>
                        <a:ln>
                          <a:noFill/>
                        </a:ln>
                      </pic:spPr>
                    </pic:pic>
                  </a:graphicData>
                </a:graphic>
              </wp:inline>
            </w:drawing>
          </w:r>
          <w:r w:rsidRPr="00586A8E">
            <w:rPr>
              <w:rFonts w:ascii="Aptos" w:eastAsia="Times New Roman" w:hAnsi="Aptos" w:cs="Segoe UI"/>
              <w:kern w:val="0"/>
              <w14:ligatures w14:val="none"/>
            </w:rPr>
            <w:t> </w:t>
          </w:r>
        </w:p>
      </w:tc>
    </w:tr>
  </w:tbl>
  <w:p w14:paraId="40F5C76A" w14:textId="77777777" w:rsidR="008260D7" w:rsidRDefault="008260D7">
    <w:pPr>
      <w:pStyle w:val="Encabezado"/>
    </w:pPr>
  </w:p>
</w:hdr>
</file>

<file path=word/intelligence2.xml><?xml version="1.0" encoding="utf-8"?>
<int2:intelligence xmlns:int2="http://schemas.microsoft.com/office/intelligence/2020/intelligence" xmlns:oel="http://schemas.microsoft.com/office/2019/extlst">
  <int2:observations>
    <int2:textHash int2:hashCode="HtQfU/bka66MU5" int2:id="RPJb1OOx">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E211C"/>
    <w:multiLevelType w:val="hybridMultilevel"/>
    <w:tmpl w:val="E84C5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8D10B8F"/>
    <w:multiLevelType w:val="hybridMultilevel"/>
    <w:tmpl w:val="59628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98354D"/>
    <w:multiLevelType w:val="hybridMultilevel"/>
    <w:tmpl w:val="02E68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92754468">
    <w:abstractNumId w:val="2"/>
  </w:num>
  <w:num w:numId="2" w16cid:durableId="1794589542">
    <w:abstractNumId w:val="1"/>
  </w:num>
  <w:num w:numId="3" w16cid:durableId="13372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D7"/>
    <w:rsid w:val="00012A4E"/>
    <w:rsid w:val="00061F7F"/>
    <w:rsid w:val="000866A5"/>
    <w:rsid w:val="00106617"/>
    <w:rsid w:val="0015518E"/>
    <w:rsid w:val="00193AF2"/>
    <w:rsid w:val="00195008"/>
    <w:rsid w:val="001C0527"/>
    <w:rsid w:val="001E4CF0"/>
    <w:rsid w:val="00202672"/>
    <w:rsid w:val="002A720E"/>
    <w:rsid w:val="002D5034"/>
    <w:rsid w:val="00317465"/>
    <w:rsid w:val="00332408"/>
    <w:rsid w:val="00346C01"/>
    <w:rsid w:val="00363889"/>
    <w:rsid w:val="0036701D"/>
    <w:rsid w:val="00383629"/>
    <w:rsid w:val="00391199"/>
    <w:rsid w:val="003B1015"/>
    <w:rsid w:val="00420F10"/>
    <w:rsid w:val="004236F4"/>
    <w:rsid w:val="00486F3B"/>
    <w:rsid w:val="004E5EB0"/>
    <w:rsid w:val="004F2A15"/>
    <w:rsid w:val="004F56B6"/>
    <w:rsid w:val="00573304"/>
    <w:rsid w:val="005E637A"/>
    <w:rsid w:val="005F6847"/>
    <w:rsid w:val="00630364"/>
    <w:rsid w:val="00645C46"/>
    <w:rsid w:val="00674123"/>
    <w:rsid w:val="00784767"/>
    <w:rsid w:val="007D1014"/>
    <w:rsid w:val="007E7981"/>
    <w:rsid w:val="008260D7"/>
    <w:rsid w:val="0088723D"/>
    <w:rsid w:val="008D185C"/>
    <w:rsid w:val="008D36F6"/>
    <w:rsid w:val="008E6C10"/>
    <w:rsid w:val="008F3F5A"/>
    <w:rsid w:val="00935D9A"/>
    <w:rsid w:val="00987B6D"/>
    <w:rsid w:val="0099009F"/>
    <w:rsid w:val="009A2688"/>
    <w:rsid w:val="009D3EC1"/>
    <w:rsid w:val="00A34B71"/>
    <w:rsid w:val="00A53B4B"/>
    <w:rsid w:val="00AA6E0F"/>
    <w:rsid w:val="00AC37B0"/>
    <w:rsid w:val="00B25D4B"/>
    <w:rsid w:val="00B301B3"/>
    <w:rsid w:val="00CD4297"/>
    <w:rsid w:val="00D2579A"/>
    <w:rsid w:val="00D3197A"/>
    <w:rsid w:val="00D66C12"/>
    <w:rsid w:val="00D85A4B"/>
    <w:rsid w:val="00DB3124"/>
    <w:rsid w:val="00E5020B"/>
    <w:rsid w:val="00E72D7A"/>
    <w:rsid w:val="00EA3E09"/>
    <w:rsid w:val="00EA76FB"/>
    <w:rsid w:val="00FF3680"/>
    <w:rsid w:val="02C0ECFA"/>
    <w:rsid w:val="0DAEFFC5"/>
    <w:rsid w:val="0E39C38B"/>
    <w:rsid w:val="11F6423A"/>
    <w:rsid w:val="132347CC"/>
    <w:rsid w:val="19FD576F"/>
    <w:rsid w:val="1B60D18F"/>
    <w:rsid w:val="235B88A7"/>
    <w:rsid w:val="2BFD3D65"/>
    <w:rsid w:val="2C9ED274"/>
    <w:rsid w:val="331BEF3D"/>
    <w:rsid w:val="36013818"/>
    <w:rsid w:val="4117B978"/>
    <w:rsid w:val="50C33BB1"/>
    <w:rsid w:val="5126E09A"/>
    <w:rsid w:val="56088FD3"/>
    <w:rsid w:val="58612EEA"/>
    <w:rsid w:val="5F7DB994"/>
    <w:rsid w:val="5F915F60"/>
    <w:rsid w:val="7D788EC3"/>
    <w:rsid w:val="7E7B2C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1E01"/>
  <w15:chartTrackingRefBased/>
  <w15:docId w15:val="{256E295E-4020-4644-BABE-ABE4CD0E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4"/>
        <w:lang w:val="es-MX"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D7"/>
  </w:style>
  <w:style w:type="paragraph" w:styleId="Ttulo1">
    <w:name w:val="heading 1"/>
    <w:basedOn w:val="Normal"/>
    <w:next w:val="Normal"/>
    <w:link w:val="Ttulo1Car"/>
    <w:uiPriority w:val="9"/>
    <w:qFormat/>
    <w:rsid w:val="00826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26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260D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60D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8260D7"/>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8260D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8260D7"/>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8260D7"/>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8260D7"/>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60D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260D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260D7"/>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60D7"/>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8260D7"/>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8260D7"/>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8260D7"/>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8260D7"/>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8260D7"/>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8260D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60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60D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60D7"/>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8260D7"/>
    <w:pPr>
      <w:spacing w:before="160"/>
      <w:jc w:val="center"/>
    </w:pPr>
    <w:rPr>
      <w:i/>
      <w:iCs/>
      <w:color w:val="404040" w:themeColor="text1" w:themeTint="BF"/>
    </w:rPr>
  </w:style>
  <w:style w:type="character" w:customStyle="1" w:styleId="CitaCar">
    <w:name w:val="Cita Car"/>
    <w:basedOn w:val="Fuentedeprrafopredeter"/>
    <w:link w:val="Cita"/>
    <w:uiPriority w:val="29"/>
    <w:rsid w:val="008260D7"/>
    <w:rPr>
      <w:i/>
      <w:iCs/>
      <w:color w:val="404040" w:themeColor="text1" w:themeTint="BF"/>
    </w:rPr>
  </w:style>
  <w:style w:type="paragraph" w:styleId="Prrafodelista">
    <w:name w:val="List Paragraph"/>
    <w:basedOn w:val="Normal"/>
    <w:uiPriority w:val="34"/>
    <w:qFormat/>
    <w:rsid w:val="008260D7"/>
    <w:pPr>
      <w:ind w:left="720"/>
      <w:contextualSpacing/>
    </w:pPr>
  </w:style>
  <w:style w:type="character" w:styleId="nfasisintenso">
    <w:name w:val="Intense Emphasis"/>
    <w:basedOn w:val="Fuentedeprrafopredeter"/>
    <w:uiPriority w:val="21"/>
    <w:qFormat/>
    <w:rsid w:val="008260D7"/>
    <w:rPr>
      <w:i/>
      <w:iCs/>
      <w:color w:val="0F4761" w:themeColor="accent1" w:themeShade="BF"/>
    </w:rPr>
  </w:style>
  <w:style w:type="paragraph" w:styleId="Citadestacada">
    <w:name w:val="Intense Quote"/>
    <w:basedOn w:val="Normal"/>
    <w:next w:val="Normal"/>
    <w:link w:val="CitadestacadaCar"/>
    <w:uiPriority w:val="30"/>
    <w:qFormat/>
    <w:rsid w:val="00826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60D7"/>
    <w:rPr>
      <w:i/>
      <w:iCs/>
      <w:color w:val="0F4761" w:themeColor="accent1" w:themeShade="BF"/>
    </w:rPr>
  </w:style>
  <w:style w:type="character" w:styleId="Referenciaintensa">
    <w:name w:val="Intense Reference"/>
    <w:basedOn w:val="Fuentedeprrafopredeter"/>
    <w:uiPriority w:val="32"/>
    <w:qFormat/>
    <w:rsid w:val="008260D7"/>
    <w:rPr>
      <w:b/>
      <w:bCs/>
      <w:smallCaps/>
      <w:color w:val="0F4761" w:themeColor="accent1" w:themeShade="BF"/>
      <w:spacing w:val="5"/>
    </w:rPr>
  </w:style>
  <w:style w:type="paragraph" w:styleId="Encabezado">
    <w:name w:val="header"/>
    <w:basedOn w:val="Normal"/>
    <w:link w:val="EncabezadoCar"/>
    <w:uiPriority w:val="99"/>
    <w:unhideWhenUsed/>
    <w:rsid w:val="008260D7"/>
    <w:pPr>
      <w:tabs>
        <w:tab w:val="center" w:pos="4419"/>
        <w:tab w:val="right" w:pos="8838"/>
      </w:tabs>
      <w:spacing w:after="0"/>
    </w:pPr>
  </w:style>
  <w:style w:type="character" w:customStyle="1" w:styleId="EncabezadoCar">
    <w:name w:val="Encabezado Car"/>
    <w:basedOn w:val="Fuentedeprrafopredeter"/>
    <w:link w:val="Encabezado"/>
    <w:uiPriority w:val="99"/>
    <w:rsid w:val="008260D7"/>
  </w:style>
  <w:style w:type="paragraph" w:styleId="Piedepgina">
    <w:name w:val="footer"/>
    <w:basedOn w:val="Normal"/>
    <w:link w:val="PiedepginaCar"/>
    <w:uiPriority w:val="99"/>
    <w:unhideWhenUsed/>
    <w:rsid w:val="008260D7"/>
    <w:pPr>
      <w:tabs>
        <w:tab w:val="center" w:pos="4419"/>
        <w:tab w:val="right" w:pos="8838"/>
      </w:tabs>
      <w:spacing w:after="0"/>
    </w:pPr>
  </w:style>
  <w:style w:type="character" w:customStyle="1" w:styleId="PiedepginaCar">
    <w:name w:val="Pie de página Car"/>
    <w:basedOn w:val="Fuentedeprrafopredeter"/>
    <w:link w:val="Piedepgina"/>
    <w:uiPriority w:val="99"/>
    <w:rsid w:val="008260D7"/>
  </w:style>
  <w:style w:type="paragraph" w:styleId="Textonotapie">
    <w:name w:val="footnote text"/>
    <w:basedOn w:val="Normal"/>
    <w:link w:val="TextonotapieCar"/>
    <w:uiPriority w:val="99"/>
    <w:semiHidden/>
    <w:unhideWhenUsed/>
    <w:rsid w:val="008260D7"/>
    <w:pPr>
      <w:spacing w:after="0"/>
    </w:pPr>
    <w:rPr>
      <w:sz w:val="20"/>
      <w:szCs w:val="20"/>
    </w:rPr>
  </w:style>
  <w:style w:type="character" w:customStyle="1" w:styleId="TextonotapieCar">
    <w:name w:val="Texto nota pie Car"/>
    <w:basedOn w:val="Fuentedeprrafopredeter"/>
    <w:link w:val="Textonotapie"/>
    <w:uiPriority w:val="99"/>
    <w:semiHidden/>
    <w:rsid w:val="008260D7"/>
    <w:rPr>
      <w:sz w:val="20"/>
      <w:szCs w:val="20"/>
    </w:rPr>
  </w:style>
  <w:style w:type="character" w:styleId="Refdenotaalpie">
    <w:name w:val="footnote reference"/>
    <w:basedOn w:val="Fuentedeprrafopredeter"/>
    <w:uiPriority w:val="99"/>
    <w:semiHidden/>
    <w:unhideWhenUsed/>
    <w:rsid w:val="008260D7"/>
    <w:rPr>
      <w:vertAlign w:val="superscript"/>
    </w:rPr>
  </w:style>
  <w:style w:type="character" w:styleId="Hipervnculo">
    <w:name w:val="Hyperlink"/>
    <w:basedOn w:val="Fuentedeprrafopredeter"/>
    <w:uiPriority w:val="99"/>
    <w:unhideWhenUsed/>
    <w:rsid w:val="008260D7"/>
    <w:rPr>
      <w:color w:val="467886" w:themeColor="hyperlink"/>
      <w:u w:val="single"/>
    </w:rPr>
  </w:style>
  <w:style w:type="character" w:styleId="Mencinsinresolver">
    <w:name w:val="Unresolved Mention"/>
    <w:basedOn w:val="Fuentedeprrafopredeter"/>
    <w:uiPriority w:val="99"/>
    <w:semiHidden/>
    <w:unhideWhenUsed/>
    <w:rsid w:val="008F3F5A"/>
    <w:rPr>
      <w:color w:val="605E5C"/>
      <w:shd w:val="clear" w:color="auto" w:fill="E1DFDD"/>
    </w:rPr>
  </w:style>
  <w:style w:type="paragraph" w:styleId="Textocomentario">
    <w:name w:val="annotation text"/>
    <w:basedOn w:val="Normal"/>
    <w:link w:val="TextocomentarioCar"/>
    <w:uiPriority w:val="99"/>
    <w:semiHidden/>
    <w:unhideWhenUsed/>
    <w:rsid w:val="004E5EB0"/>
    <w:rPr>
      <w:sz w:val="20"/>
      <w:szCs w:val="20"/>
    </w:rPr>
  </w:style>
  <w:style w:type="character" w:customStyle="1" w:styleId="TextocomentarioCar">
    <w:name w:val="Texto comentario Car"/>
    <w:basedOn w:val="Fuentedeprrafopredeter"/>
    <w:link w:val="Textocomentario"/>
    <w:uiPriority w:val="99"/>
    <w:semiHidden/>
    <w:rsid w:val="004E5EB0"/>
    <w:rPr>
      <w:sz w:val="20"/>
      <w:szCs w:val="20"/>
    </w:rPr>
  </w:style>
  <w:style w:type="character" w:styleId="Refdecomentario">
    <w:name w:val="annotation reference"/>
    <w:basedOn w:val="Fuentedeprrafopredeter"/>
    <w:uiPriority w:val="99"/>
    <w:semiHidden/>
    <w:unhideWhenUsed/>
    <w:rsid w:val="004E5EB0"/>
    <w:rPr>
      <w:sz w:val="16"/>
      <w:szCs w:val="16"/>
    </w:rPr>
  </w:style>
  <w:style w:type="table" w:styleId="Tablaconcuadrcula">
    <w:name w:val="Table Grid"/>
    <w:basedOn w:val="Tablanormal"/>
    <w:uiPriority w:val="59"/>
    <w:rsid w:val="004E5EB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visitado">
    <w:name w:val="FollowedHyperlink"/>
    <w:basedOn w:val="Fuentedeprrafopredeter"/>
    <w:uiPriority w:val="99"/>
    <w:semiHidden/>
    <w:unhideWhenUsed/>
    <w:rsid w:val="00420F1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ernando.pineda@bursonglobal.com%3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iela.medel@lge.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iel.aguilar@lg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hrexpomexic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b4cce7-a72b-40a3-acea-6caf131e2ffe" xsi:nil="true"/>
    <ArchiverLinkFileType xmlns="17dbae7f-4d12-446a-90ae-11a5fe394877" xsi:nil="true"/>
    <lcf76f155ced4ddcb4097134ff3c332f xmlns="17dbae7f-4d12-446a-90ae-11a5fe3948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C5A79D428F8409C02FED0036B379E" ma:contentTypeVersion="38" ma:contentTypeDescription="Create a new document." ma:contentTypeScope="" ma:versionID="1aac203c3ec7b5a34d533470ccca14df">
  <xsd:schema xmlns:xsd="http://www.w3.org/2001/XMLSchema" xmlns:xs="http://www.w3.org/2001/XMLSchema" xmlns:p="http://schemas.microsoft.com/office/2006/metadata/properties" xmlns:ns2="17dbae7f-4d12-446a-90ae-11a5fe394877" xmlns:ns3="e1b4cce7-a72b-40a3-acea-6caf131e2ffe" targetNamespace="http://schemas.microsoft.com/office/2006/metadata/properties" ma:root="true" ma:fieldsID="bb4812428bf0e5c266230da68798f10e" ns2:_="" ns3:_="">
    <xsd:import namespace="17dbae7f-4d12-446a-90ae-11a5fe394877"/>
    <xsd:import namespace="e1b4cce7-a72b-40a3-acea-6caf131e2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bae7f-4d12-446a-90ae-11a5fe394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4cce7-a72b-40a3-acea-6caf131e2f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d7c002-54fd-4c67-97c9-f06a6bd724e9}" ma:internalName="TaxCatchAll" ma:readOnly="false" ma:showField="CatchAllData" ma:web="e1b4cce7-a72b-40a3-acea-6caf131e2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A9C16-5DE0-4BAB-B835-2EB84B1BD235}">
  <ds:schemaRefs>
    <ds:schemaRef ds:uri="http://schemas.microsoft.com/office/2006/metadata/properties"/>
    <ds:schemaRef ds:uri="http://schemas.microsoft.com/office/infopath/2007/PartnerControls"/>
    <ds:schemaRef ds:uri="e1b4cce7-a72b-40a3-acea-6caf131e2ffe"/>
    <ds:schemaRef ds:uri="17dbae7f-4d12-446a-90ae-11a5fe394877"/>
  </ds:schemaRefs>
</ds:datastoreItem>
</file>

<file path=customXml/itemProps2.xml><?xml version="1.0" encoding="utf-8"?>
<ds:datastoreItem xmlns:ds="http://schemas.openxmlformats.org/officeDocument/2006/customXml" ds:itemID="{0F3DF3B6-B433-422C-8FAB-D57B49E0B84E}">
  <ds:schemaRefs>
    <ds:schemaRef ds:uri="http://schemas.microsoft.com/sharepoint/v3/contenttype/forms"/>
  </ds:schemaRefs>
</ds:datastoreItem>
</file>

<file path=customXml/itemProps3.xml><?xml version="1.0" encoding="utf-8"?>
<ds:datastoreItem xmlns:ds="http://schemas.openxmlformats.org/officeDocument/2006/customXml" ds:itemID="{8EAD8C02-0A83-483B-8ECD-9C40CDE30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bae7f-4d12-446a-90ae-11a5fe394877"/>
    <ds:schemaRef ds:uri="e1b4cce7-a72b-40a3-acea-6caf131e2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4192</Characters>
  <Application>Microsoft Office Word</Application>
  <DocSecurity>0</DocSecurity>
  <Lines>34</Lines>
  <Paragraphs>9</Paragraphs>
  <ScaleCrop>false</ScaleCrop>
  <Company/>
  <LinksUpToDate>false</LinksUpToDate>
  <CharactersWithSpaces>4945</CharactersWithSpaces>
  <SharedDoc>false</SharedDoc>
  <HLinks>
    <vt:vector size="24" baseType="variant">
      <vt:variant>
        <vt:i4>2555981</vt:i4>
      </vt:variant>
      <vt:variant>
        <vt:i4>9</vt:i4>
      </vt:variant>
      <vt:variant>
        <vt:i4>0</vt:i4>
      </vt:variant>
      <vt:variant>
        <vt:i4>5</vt:i4>
      </vt:variant>
      <vt:variant>
        <vt:lpwstr>mailto:fernando.pineda@bursonglobal.com%3e</vt:lpwstr>
      </vt:variant>
      <vt:variant>
        <vt:lpwstr/>
      </vt:variant>
      <vt:variant>
        <vt:i4>917606</vt:i4>
      </vt:variant>
      <vt:variant>
        <vt:i4>6</vt:i4>
      </vt:variant>
      <vt:variant>
        <vt:i4>0</vt:i4>
      </vt:variant>
      <vt:variant>
        <vt:i4>5</vt:i4>
      </vt:variant>
      <vt:variant>
        <vt:lpwstr>mailto:daniela.medel@lge.com</vt:lpwstr>
      </vt:variant>
      <vt:variant>
        <vt:lpwstr/>
      </vt:variant>
      <vt:variant>
        <vt:i4>2752590</vt:i4>
      </vt:variant>
      <vt:variant>
        <vt:i4>3</vt:i4>
      </vt:variant>
      <vt:variant>
        <vt:i4>0</vt:i4>
      </vt:variant>
      <vt:variant>
        <vt:i4>5</vt:i4>
      </vt:variant>
      <vt:variant>
        <vt:lpwstr>mailto:daniel.aguilar@lge.com</vt:lpwstr>
      </vt:variant>
      <vt:variant>
        <vt:lpwstr/>
      </vt:variant>
      <vt:variant>
        <vt:i4>2949161</vt:i4>
      </vt:variant>
      <vt:variant>
        <vt:i4>0</vt:i4>
      </vt:variant>
      <vt:variant>
        <vt:i4>0</vt:i4>
      </vt:variant>
      <vt:variant>
        <vt:i4>5</vt:i4>
      </vt:variant>
      <vt:variant>
        <vt:lpwstr>https://www.ahrexpomexico.com/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Velazquez</dc:creator>
  <cp:keywords/>
  <dc:description/>
  <cp:lastModifiedBy>Arturo Eugenio Velaztegui Soto</cp:lastModifiedBy>
  <cp:revision>2</cp:revision>
  <dcterms:created xsi:type="dcterms:W3CDTF">2025-09-18T00:51:00Z</dcterms:created>
  <dcterms:modified xsi:type="dcterms:W3CDTF">2025-09-18T00:51:00Z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0x010100609C5A79D428F8409C02FED0036B379E</vt:lpwstr>
  </property>
  <property fmtid="{D5CDD505-2E9C-101B-9397-08002B2CF9AE}" pid="3" name="MediaServiceImageTags">
    <vt:lpwstr/>
  </property>
</Properties>
</file>